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pacing w:after="0" w:afterAutospacing="0" w:line="276" w:lineRule="auto"/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АКЦИЯ «5 лет с Пушкинской картой»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20"/>
        <w:jc w:val="both"/>
        <w:spacing w:after="0" w:afterAutospacing="0" w:line="276" w:lineRule="auto"/>
        <w:rPr>
          <w:rFonts w:ascii="Times New Roman" w:hAnsi="Times New Roman" w:cs="Times New Roman"/>
          <w:b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26"/>
        <w:numPr>
          <w:ilvl w:val="0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Общие положения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Акция «5 лет с Пушкинской картой» направлена </w:t>
        <w:br/>
        <w:t xml:space="preserve">на популяризацию проекта «Пушкинская карта»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(далее - Акция)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Акция реализуется во всех муниципальных образованиях </w:t>
        <w:br/>
        <w:t xml:space="preserve">Ханты-Мансийского автономного округа – Югры (далее – автономный округ, регион).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Организаторами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кции являются органы управления образования, культуры, а также представительства ПАО «Банк «ВТБ» в муниципальных образованиях региона.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ind w:left="284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0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Участники Акции.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Участниками Акции являются граждане Российской Федерации, достигшие 14-летнего возраста в период с 01 июня по 20 августа 2026 года и имеющие паспорт гражданина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26"/>
        <w:numPr>
          <w:ilvl w:val="0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Формат проведения акции.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Общеобразовательные учреждения формируют списки участников Акции, осуществляя взаимодействие с законными представителями участников Акции: координируют процесс получения виртуальной и пластиковой Пушкинской карты.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Центры общественного доступа при общедоступных библиотеках/ Многофункциональные центры предоставления государственных </w:t>
        <w:br/>
        <w:t xml:space="preserve">и муниципальных услуг оказывают содействие участникам Акции в активации учетной записи на портале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Госуслуг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получении виртуальной Пушкинской карты.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редставительства ПАО «Банк «ВТБ» в муниципальных образованиях региона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оказывают содействие в оперативном выпуске пластиковой Пушкинской карты.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Законные представители участников Акции содействуют получению пластиковой Пушкинской карты.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Образовательные организации в сценариях Дня знаний 1 сентября предусматривают возможность получения участниками Акции пластиковой Пушкинской карты в торжественной обстановке.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26"/>
        <w:numPr>
          <w:ilvl w:val="1"/>
          <w:numId w:val="1"/>
        </w:numPr>
        <w:ind w:left="0" w:firstLine="720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Администрации муниципальных образований региона обеспечивают участие глав, их заместителей, иных должностных лиц, представителей депутатского корпуса, приглашение представителей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ПАО «Банк «ВТБ»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для вручения карт в торжественной обстановке.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paragraph" w:styleId="47">
    <w:name w:val="Caption"/>
    <w:basedOn w:val="622"/>
    <w:next w:val="62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3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</w:style>
  <w:style w:type="character" w:styleId="623" w:default="1">
    <w:name w:val="Default Paragraph Font"/>
    <w:uiPriority w:val="1"/>
    <w:semiHidden/>
    <w:unhideWhenUsed/>
  </w:style>
  <w:style w:type="table" w:styleId="6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5" w:default="1">
    <w:name w:val="No List"/>
    <w:uiPriority w:val="99"/>
    <w:semiHidden/>
    <w:unhideWhenUsed/>
  </w:style>
  <w:style w:type="paragraph" w:styleId="626">
    <w:name w:val="List Paragraph"/>
    <w:basedOn w:val="622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Кащеева Ульяна Викторовна</dc:creator>
  <cp:keywords/>
  <dc:description/>
  <cp:lastModifiedBy>KokorinaOM</cp:lastModifiedBy>
  <cp:revision>3</cp:revision>
  <dcterms:created xsi:type="dcterms:W3CDTF">2026-08-10T09:36:00Z</dcterms:created>
  <dcterms:modified xsi:type="dcterms:W3CDTF">2026-08-14T10:02:13Z</dcterms:modified>
</cp:coreProperties>
</file>